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22390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ออกใบอนุญาตแก้ไขเปลี่ยนแปลงการ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15.30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เจ้าหน้าที่ผู้รับผิดช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สถานที่และสิ่งก่อสร้าง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8B34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8B344E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กองช่างเทศบาลเมืองบ้านบึงและนายกเทศมนตรี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และระบบป้องกันอันตรายจากฟ้าผ่าระบบป้องกันและระงับอัคคีภั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390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390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สัญญาประกัันภัยหรือกรมธรรม์ประกันภัยความรับผิดชอบตามกฏหมายแก้ผู้ได้รับความเสียหายจากภัยอันเกิดจากการประกอบกิจการควบคุมประเภท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390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239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="008B344E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ากมีการติดตั้งภาชนะบรรจุน้ำมันเพิ่มเติมจากที่ได้รับอนุญาตอยู่ก่อนเดิมจะต้องเสียคาธรรมเนียมการอนุญาตให้ใช้ภาชนะบรรจุน้ำมันในส่วนที่เพิ่มเติมด้วย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tab/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รายการเอกสารยื่นเพิ่มเติมที่ </w:t>
      </w:r>
      <w:r w:rsidRPr="00527864">
        <w:rPr>
          <w:rFonts w:ascii="Tahoma" w:hAnsi="Tahoma" w:cs="Tahoma"/>
          <w:noProof/>
          <w:sz w:val="20"/>
          <w:szCs w:val="20"/>
        </w:rPr>
        <w:t xml:space="preserve">2-3 </w:t>
      </w:r>
      <w:r w:rsidRPr="00527864">
        <w:rPr>
          <w:rFonts w:ascii="Tahoma" w:hAnsi="Tahoma" w:cs="Tahoma"/>
          <w:noProof/>
          <w:sz w:val="20"/>
          <w:szCs w:val="20"/>
          <w:cs/>
        </w:rPr>
        <w:t>ใช้ในกรณีที่เกี่ยวข้องเท่านั้น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2390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2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2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2F5480">
        <w:rPr>
          <w:rFonts w:ascii="Tahoma" w:hAnsi="Tahoma" w:cs="Tahoma"/>
          <w:noProof/>
          <w:sz w:val="20"/>
          <w:szCs w:val="20"/>
        </w:rPr>
        <w:t>) 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390A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3DB6"/>
    <w:rsid w:val="00727E67"/>
    <w:rsid w:val="007B7ED7"/>
    <w:rsid w:val="00812105"/>
    <w:rsid w:val="00815F25"/>
    <w:rsid w:val="008B344E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0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34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11A90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2020-01-26T09:28:00Z</dcterms:created>
  <dcterms:modified xsi:type="dcterms:W3CDTF">2020-01-26T09:28:00Z</dcterms:modified>
</cp:coreProperties>
</file>