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การรับแจ้งการตายกรณีตายในบ้านและตายนอกบ้าน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156F3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เจ้าบ้านที่มีคนตายกรณีคนตายในบ้าน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รวมถึงสถานพยาบาล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หากไม่มีเจ้าบ้านให้ผู้พบศพเป็นผู้แจ้ง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(2)</w:t>
      </w:r>
      <w:r w:rsidRPr="00586D86">
        <w:rPr>
          <w:rFonts w:ascii="Tahoma" w:hAnsi="Tahoma" w:cs="Tahoma"/>
          <w:noProof/>
          <w:sz w:val="20"/>
          <w:szCs w:val="20"/>
          <w:cs/>
        </w:rPr>
        <w:t>บุคคลที่ไปกับผู้ตายหรือผู้พบศพกรณีตายนอกบ้าน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ระยะเวลาการแจ้งภายใน</w:t>
      </w:r>
      <w:r w:rsidRPr="00586D86">
        <w:rPr>
          <w:rFonts w:ascii="Tahoma" w:hAnsi="Tahoma" w:cs="Tahoma"/>
          <w:noProof/>
          <w:sz w:val="20"/>
          <w:szCs w:val="20"/>
        </w:rPr>
        <w:t xml:space="preserve">24 </w:t>
      </w:r>
      <w:r w:rsidRPr="00586D86">
        <w:rPr>
          <w:rFonts w:ascii="Tahoma" w:hAnsi="Tahoma" w:cs="Tahoma"/>
          <w:noProof/>
          <w:sz w:val="20"/>
          <w:szCs w:val="20"/>
          <w:cs/>
        </w:rPr>
        <w:t>ชั่วโมงนับตั้งแต่เวลาตายหรือเวลาพบศพ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แห่งท้องที่ที่ตาย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56F3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56F3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ของผู้ตายถ้ามี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หนังสือรับรองการตายตามแบบท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.4/1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56F3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กรณีตายในสถานพยาบาล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56F3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ที่ผู้ตายมีชื่ออยู่ถ้ามี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ทางราชการออกให้เช่นหนังสือแจ้งเหตุการเสียชีวิตหรือบันทึกรายงานประจำวันเกี่ยวกับคดีออกโดยสถานีตำรว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56F3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144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กรณีคนตายในท้องที่เขตเทศบาลเมืองบ้านบึง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56F3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การรับแจ้งการตายกรณีตายในบ้านและตายนอกบ้าน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การรับแจ้งการตายกรณีตายในบ้านและตายนอกบ้าน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56F3A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34781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93E84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3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6224F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2020-01-24T08:21:00Z</dcterms:created>
  <dcterms:modified xsi:type="dcterms:W3CDTF">2020-01-24T08:21:00Z</dcterms:modified>
</cp:coreProperties>
</file>