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D3A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รับใบอนุญาตให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ายอาคารประเภทควบคุมการใช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  <w:t>ตามมาตรา 39 ทวิได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กระทําการดังกล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าวเสร็จแล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นหนังสือให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องถิ่นทราบตามแบบ</w:t>
      </w:r>
      <w:r w:rsidRPr="00586D86">
        <w:rPr>
          <w:rFonts w:ascii="Tahoma" w:hAnsi="Tahoma" w:cs="Tahoma"/>
          <w:noProof/>
          <w:sz w:val="20"/>
          <w:szCs w:val="20"/>
        </w:rPr>
        <w:br/>
        <w:t>ที่เจ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องถิ่นกําหนดเพื่อทําการตรวจสอบการก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ายอาคารนั้นให</w:t>
      </w:r>
      <w:r w:rsidRPr="00586D86">
        <w:rPr>
          <w:rFonts w:ascii="Tahoma" w:hAnsi="Tahoma" w:cs="Tahoma"/>
          <w:noProof/>
          <w:sz w:val="20"/>
          <w:szCs w:val="20"/>
        </w:rPr>
        <w:t>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</w:rPr>
        <w:br/>
        <w:t>เสร็จภายในสามสิบวันนับแต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ทําการตรวจสอบแล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วเห็นว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าการก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างดัดแปลงหรือเคลื่อนย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>นั้นเป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นไปโดยถูกต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ตามมาตรา 39 ทวิแล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วก็ให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ออกใบรับรองให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br/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รับใบอนุญาตหรือผู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งตามมาตรา 39 ทวิเพื่อให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อาคารนั้นตามที่ได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รับใบอนุญาตหรือที่</w:t>
      </w:r>
      <w:r w:rsidRPr="00586D86">
        <w:rPr>
          <w:rFonts w:ascii="Tahoma" w:hAnsi="Tahoma" w:cs="Tahoma"/>
          <w:noProof/>
          <w:sz w:val="20"/>
          <w:szCs w:val="20"/>
        </w:rPr>
        <w:br/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3A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D3A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เป็นไปตามหลักเกณฑ์ของกฎกระทรวงฉบับที่๗พ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D3AA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32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4314C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3AAB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B513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F51D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2020-01-26T09:37:00Z</dcterms:created>
  <dcterms:modified xsi:type="dcterms:W3CDTF">2020-01-26T09:37:00Z</dcterms:modified>
</cp:coreProperties>
</file>